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3109" w14:textId="358F9AA7" w:rsidR="003A200A" w:rsidRDefault="003A200A" w:rsidP="00B63A38">
      <w:pPr>
        <w:pStyle w:val="Sinespaciado"/>
        <w:spacing w:line="276" w:lineRule="auto"/>
        <w:jc w:val="center"/>
        <w:rPr>
          <w:rFonts w:ascii="Times New Roman" w:hAnsi="Times New Roman" w:cs="Times New Roman"/>
          <w:b/>
          <w:color w:val="365F91" w:themeColor="accent1" w:themeShade="BF"/>
          <w:sz w:val="24"/>
          <w:szCs w:val="24"/>
        </w:rPr>
      </w:pPr>
      <w:bookmarkStart w:id="0" w:name="_Hlk83152697"/>
    </w:p>
    <w:p w14:paraId="612CC10C" w14:textId="77777777" w:rsidR="00A104C7" w:rsidRPr="0087608F" w:rsidRDefault="00A104C7" w:rsidP="00B63A38">
      <w:pPr>
        <w:pStyle w:val="Sinespaciado"/>
        <w:spacing w:line="276" w:lineRule="auto"/>
        <w:jc w:val="center"/>
        <w:rPr>
          <w:rFonts w:ascii="Times New Roman" w:hAnsi="Times New Roman" w:cs="Times New Roman"/>
          <w:b/>
          <w:color w:val="365F91" w:themeColor="accent1" w:themeShade="BF"/>
          <w:sz w:val="24"/>
          <w:szCs w:val="24"/>
        </w:rPr>
      </w:pPr>
    </w:p>
    <w:p w14:paraId="5CE1C495" w14:textId="6F8D811F" w:rsidR="00E579B4" w:rsidRDefault="0008498C" w:rsidP="00B63A38">
      <w:pPr>
        <w:pStyle w:val="Sinespaciado"/>
        <w:spacing w:line="276" w:lineRule="auto"/>
        <w:jc w:val="center"/>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P</w:t>
      </w:r>
      <w:r w:rsidR="00BB3F05">
        <w:rPr>
          <w:rFonts w:ascii="Times New Roman" w:hAnsi="Times New Roman" w:cs="Times New Roman"/>
          <w:b/>
          <w:color w:val="365F91" w:themeColor="accent1" w:themeShade="BF"/>
          <w:sz w:val="28"/>
          <w:szCs w:val="28"/>
        </w:rPr>
        <w:t>OLÍTICAS Y PROCEDIMIENTOS PARA P</w:t>
      </w:r>
      <w:r>
        <w:rPr>
          <w:rFonts w:ascii="Times New Roman" w:hAnsi="Times New Roman" w:cs="Times New Roman"/>
          <w:b/>
          <w:color w:val="365F91" w:themeColor="accent1" w:themeShade="BF"/>
          <w:sz w:val="28"/>
          <w:szCs w:val="28"/>
        </w:rPr>
        <w:t>RÁCTICAS PRE PROFESIONALES</w:t>
      </w:r>
    </w:p>
    <w:bookmarkEnd w:id="0"/>
    <w:p w14:paraId="2C45BE2E" w14:textId="229F6252" w:rsidR="0008498C" w:rsidRDefault="0008498C" w:rsidP="00997928">
      <w:pPr>
        <w:pStyle w:val="NormalWeb"/>
        <w:spacing w:line="276" w:lineRule="auto"/>
        <w:jc w:val="both"/>
      </w:pPr>
      <w:r>
        <w:t>Las prácticas preprofesionales constituyen un componente esencial en la formación de los estudiantes de la Facultad de Ciencias de la Administración, al permitirles aplicar sus conocimientos teóricos en contextos reales y fortalecer habilidades blandas y competencias profesionales y éticas. Por esto, es importante la oportuna asignación, seguimiento y evaluación de dichas prácticas, garantizando su pertinencia académica, calidad pedagógica y vinculación efectiva con el entorno profesional.</w:t>
      </w:r>
      <w:r w:rsidR="00B00594">
        <w:t xml:space="preserve"> </w:t>
      </w:r>
      <w:r>
        <w:t>Al integrarse como parte del pensum de estudios, las prácticas no solo cumplen una función académica, sino que también facilitan la conexión entre la universidad y la realidad empresarial, promoviendo el compromiso activo del estudiante con el desarrollo de la sociedad.</w:t>
      </w:r>
    </w:p>
    <w:p w14:paraId="5272E0FB" w14:textId="6A6B86AD" w:rsidR="0008498C" w:rsidRPr="0008498C" w:rsidRDefault="0008498C" w:rsidP="00997928">
      <w:pPr>
        <w:spacing w:after="0"/>
        <w:jc w:val="both"/>
        <w:rPr>
          <w:rFonts w:ascii="Times New Roman" w:hAnsi="Times New Roman" w:cs="Times New Roman"/>
          <w:b/>
          <w:sz w:val="24"/>
          <w:szCs w:val="24"/>
        </w:rPr>
      </w:pPr>
      <w:r w:rsidRPr="00997928">
        <w:rPr>
          <w:rFonts w:ascii="Times New Roman" w:hAnsi="Times New Roman" w:cs="Times New Roman"/>
          <w:b/>
          <w:sz w:val="24"/>
          <w:szCs w:val="24"/>
        </w:rPr>
        <w:t>A</w:t>
      </w:r>
      <w:r w:rsidRPr="0008498C">
        <w:rPr>
          <w:rFonts w:ascii="Times New Roman" w:hAnsi="Times New Roman" w:cs="Times New Roman"/>
          <w:b/>
          <w:sz w:val="24"/>
          <w:szCs w:val="24"/>
        </w:rPr>
        <w:t>signación</w:t>
      </w:r>
      <w:r w:rsidRPr="00997928">
        <w:rPr>
          <w:rFonts w:ascii="Times New Roman" w:hAnsi="Times New Roman" w:cs="Times New Roman"/>
          <w:b/>
          <w:sz w:val="24"/>
          <w:szCs w:val="24"/>
        </w:rPr>
        <w:t>:</w:t>
      </w:r>
    </w:p>
    <w:p w14:paraId="1C2DE33D" w14:textId="05434A4F" w:rsidR="0008498C" w:rsidRDefault="0008498C" w:rsidP="00997928">
      <w:pPr>
        <w:pStyle w:val="Prrafodelista"/>
        <w:numPr>
          <w:ilvl w:val="0"/>
          <w:numId w:val="12"/>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 xml:space="preserve">Las prácticas se asignan al momento en el cual el estudiante realiza su pre matrícula en alguna de las materias de </w:t>
      </w:r>
      <w:r w:rsidR="00B00594" w:rsidRPr="00997928">
        <w:rPr>
          <w:rFonts w:ascii="Times New Roman" w:hAnsi="Times New Roman" w:cs="Times New Roman"/>
          <w:bCs/>
          <w:sz w:val="24"/>
          <w:szCs w:val="24"/>
        </w:rPr>
        <w:t>p</w:t>
      </w:r>
      <w:r w:rsidRPr="00997928">
        <w:rPr>
          <w:rFonts w:ascii="Times New Roman" w:hAnsi="Times New Roman" w:cs="Times New Roman"/>
          <w:bCs/>
          <w:sz w:val="24"/>
          <w:szCs w:val="24"/>
        </w:rPr>
        <w:t>rácticas</w:t>
      </w:r>
      <w:r w:rsidR="00B00594" w:rsidRPr="00997928">
        <w:rPr>
          <w:rFonts w:ascii="Times New Roman" w:hAnsi="Times New Roman" w:cs="Times New Roman"/>
          <w:bCs/>
          <w:sz w:val="24"/>
          <w:szCs w:val="24"/>
        </w:rPr>
        <w:t>.</w:t>
      </w:r>
    </w:p>
    <w:p w14:paraId="12FA6EBE" w14:textId="77777777" w:rsidR="00C53A3D" w:rsidRDefault="00BB3F05" w:rsidP="00C53A3D">
      <w:pPr>
        <w:pStyle w:val="Prrafodelista"/>
        <w:numPr>
          <w:ilvl w:val="0"/>
          <w:numId w:val="12"/>
        </w:numPr>
        <w:tabs>
          <w:tab w:val="num" w:pos="426"/>
        </w:tabs>
        <w:spacing w:after="0"/>
        <w:ind w:left="426" w:hanging="284"/>
        <w:jc w:val="both"/>
        <w:rPr>
          <w:rFonts w:ascii="Times New Roman" w:hAnsi="Times New Roman" w:cs="Times New Roman"/>
          <w:bCs/>
          <w:sz w:val="24"/>
          <w:szCs w:val="24"/>
        </w:rPr>
      </w:pPr>
      <w:r>
        <w:rPr>
          <w:rFonts w:ascii="Times New Roman" w:hAnsi="Times New Roman" w:cs="Times New Roman"/>
          <w:bCs/>
          <w:sz w:val="24"/>
          <w:szCs w:val="24"/>
        </w:rPr>
        <w:t>Hasta el último día de las pre</w:t>
      </w:r>
      <w:r w:rsidR="00C53A3D">
        <w:rPr>
          <w:rFonts w:ascii="Times New Roman" w:hAnsi="Times New Roman" w:cs="Times New Roman"/>
          <w:bCs/>
          <w:sz w:val="24"/>
          <w:szCs w:val="24"/>
        </w:rPr>
        <w:t xml:space="preserve"> </w:t>
      </w:r>
      <w:r>
        <w:rPr>
          <w:rFonts w:ascii="Times New Roman" w:hAnsi="Times New Roman" w:cs="Times New Roman"/>
          <w:bCs/>
          <w:sz w:val="24"/>
          <w:szCs w:val="24"/>
        </w:rPr>
        <w:t xml:space="preserve">matrículas de cada periodo académico, el estudiante será el responsable de informar a su Junta Académica el cumplimiento de horas de prácticas pre profesionales, otorgadas por convenios institucionales. </w:t>
      </w:r>
    </w:p>
    <w:p w14:paraId="3C166065" w14:textId="2A7A66E9" w:rsidR="00C53A3D" w:rsidRPr="00C53A3D" w:rsidRDefault="00C53A3D" w:rsidP="00C53A3D">
      <w:pPr>
        <w:pStyle w:val="Prrafodelista"/>
        <w:numPr>
          <w:ilvl w:val="0"/>
          <w:numId w:val="12"/>
        </w:numPr>
        <w:tabs>
          <w:tab w:val="num" w:pos="426"/>
        </w:tabs>
        <w:spacing w:after="0"/>
        <w:ind w:left="426" w:hanging="284"/>
        <w:jc w:val="both"/>
        <w:rPr>
          <w:rFonts w:ascii="Times New Roman" w:hAnsi="Times New Roman" w:cs="Times New Roman"/>
          <w:bCs/>
          <w:sz w:val="24"/>
          <w:szCs w:val="24"/>
        </w:rPr>
      </w:pPr>
      <w:r>
        <w:rPr>
          <w:rFonts w:ascii="Times New Roman" w:hAnsi="Times New Roman" w:cs="Times New Roman"/>
          <w:bCs/>
          <w:sz w:val="24"/>
          <w:szCs w:val="24"/>
        </w:rPr>
        <w:t>El</w:t>
      </w:r>
      <w:r w:rsidRPr="00C53A3D">
        <w:rPr>
          <w:rFonts w:ascii="Times New Roman" w:hAnsi="Times New Roman" w:cs="Times New Roman"/>
          <w:bCs/>
          <w:sz w:val="24"/>
          <w:szCs w:val="24"/>
        </w:rPr>
        <w:t xml:space="preserve"> estudiante que realice un programa semestral de intercambio </w:t>
      </w:r>
      <w:r>
        <w:rPr>
          <w:rFonts w:ascii="Times New Roman" w:hAnsi="Times New Roman" w:cs="Times New Roman"/>
          <w:bCs/>
          <w:sz w:val="24"/>
          <w:szCs w:val="24"/>
        </w:rPr>
        <w:t>en</w:t>
      </w:r>
      <w:r w:rsidRPr="00C53A3D">
        <w:rPr>
          <w:rFonts w:ascii="Times New Roman" w:hAnsi="Times New Roman" w:cs="Times New Roman"/>
          <w:bCs/>
          <w:sz w:val="24"/>
          <w:szCs w:val="24"/>
        </w:rPr>
        <w:t xml:space="preserve"> </w:t>
      </w:r>
      <w:r>
        <w:rPr>
          <w:rFonts w:ascii="Times New Roman" w:hAnsi="Times New Roman" w:cs="Times New Roman"/>
          <w:bCs/>
          <w:sz w:val="24"/>
          <w:szCs w:val="24"/>
        </w:rPr>
        <w:t>una de las</w:t>
      </w:r>
      <w:r w:rsidRPr="00C53A3D">
        <w:rPr>
          <w:rFonts w:ascii="Times New Roman" w:hAnsi="Times New Roman" w:cs="Times New Roman"/>
          <w:bCs/>
          <w:sz w:val="24"/>
          <w:szCs w:val="24"/>
        </w:rPr>
        <w:t xml:space="preserve"> instituciones de educación superior con las cuales la Universidad </w:t>
      </w:r>
      <w:r>
        <w:rPr>
          <w:rFonts w:ascii="Times New Roman" w:hAnsi="Times New Roman" w:cs="Times New Roman"/>
          <w:bCs/>
          <w:sz w:val="24"/>
          <w:szCs w:val="24"/>
        </w:rPr>
        <w:t>mantiene</w:t>
      </w:r>
      <w:r w:rsidRPr="00C53A3D">
        <w:rPr>
          <w:rFonts w:ascii="Times New Roman" w:hAnsi="Times New Roman" w:cs="Times New Roman"/>
          <w:bCs/>
          <w:sz w:val="24"/>
          <w:szCs w:val="24"/>
        </w:rPr>
        <w:t xml:space="preserve"> convenio</w:t>
      </w:r>
      <w:r>
        <w:rPr>
          <w:rFonts w:ascii="Times New Roman" w:hAnsi="Times New Roman" w:cs="Times New Roman"/>
          <w:bCs/>
          <w:sz w:val="24"/>
          <w:szCs w:val="24"/>
        </w:rPr>
        <w:t>, deberá adelantar sus horas de prácticas preprofesionales, en caso de tener que realizarlas en el semestre que tendrá su movilidad.</w:t>
      </w:r>
    </w:p>
    <w:p w14:paraId="3F232224" w14:textId="62B38C6C" w:rsidR="00F02696" w:rsidRDefault="00F02696" w:rsidP="00997928">
      <w:pPr>
        <w:pStyle w:val="Prrafodelista"/>
        <w:numPr>
          <w:ilvl w:val="0"/>
          <w:numId w:val="12"/>
        </w:numPr>
        <w:tabs>
          <w:tab w:val="num" w:pos="426"/>
        </w:tabs>
        <w:spacing w:after="0"/>
        <w:ind w:left="426" w:hanging="284"/>
        <w:jc w:val="both"/>
        <w:rPr>
          <w:rFonts w:ascii="Times New Roman" w:hAnsi="Times New Roman" w:cs="Times New Roman"/>
          <w:bCs/>
          <w:sz w:val="24"/>
          <w:szCs w:val="24"/>
        </w:rPr>
      </w:pPr>
      <w:r w:rsidRPr="00F02696">
        <w:rPr>
          <w:rFonts w:ascii="Times New Roman" w:hAnsi="Times New Roman" w:cs="Times New Roman"/>
          <w:bCs/>
          <w:sz w:val="24"/>
          <w:szCs w:val="24"/>
        </w:rPr>
        <w:t xml:space="preserve">Las prácticas preprofesionales pueden realizarse dentro o fuera de la </w:t>
      </w:r>
      <w:r>
        <w:rPr>
          <w:rFonts w:ascii="Times New Roman" w:hAnsi="Times New Roman" w:cs="Times New Roman"/>
          <w:bCs/>
          <w:sz w:val="24"/>
          <w:szCs w:val="24"/>
        </w:rPr>
        <w:t>Universidad. Para el segundo caso, se deberá contar con el convenio correspondiente.</w:t>
      </w:r>
    </w:p>
    <w:p w14:paraId="27735DC6" w14:textId="7F035D67" w:rsidR="0008498C" w:rsidRDefault="0008498C" w:rsidP="00997928">
      <w:pPr>
        <w:pStyle w:val="Prrafodelista"/>
        <w:numPr>
          <w:ilvl w:val="0"/>
          <w:numId w:val="12"/>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La asignación puede realizarse por convenio institucional, decisión de la Junta Académica por gestión con empresa o proyectos, o</w:t>
      </w:r>
      <w:r w:rsidR="00B00594" w:rsidRPr="00997928">
        <w:rPr>
          <w:rFonts w:ascii="Times New Roman" w:hAnsi="Times New Roman" w:cs="Times New Roman"/>
          <w:bCs/>
          <w:sz w:val="24"/>
          <w:szCs w:val="24"/>
        </w:rPr>
        <w:t xml:space="preserve"> a</w:t>
      </w:r>
      <w:r w:rsidRPr="00997928">
        <w:rPr>
          <w:rFonts w:ascii="Times New Roman" w:hAnsi="Times New Roman" w:cs="Times New Roman"/>
          <w:bCs/>
          <w:sz w:val="24"/>
          <w:szCs w:val="24"/>
        </w:rPr>
        <w:t xml:space="preserve"> petición del estudiante.</w:t>
      </w:r>
    </w:p>
    <w:p w14:paraId="2A142F63" w14:textId="37164FAB" w:rsidR="0008498C" w:rsidRPr="00997928" w:rsidRDefault="0008498C" w:rsidP="00997928">
      <w:pPr>
        <w:pStyle w:val="Prrafodelista"/>
        <w:numPr>
          <w:ilvl w:val="0"/>
          <w:numId w:val="12"/>
        </w:numPr>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 xml:space="preserve">Todos los estudiantes deben </w:t>
      </w:r>
      <w:r w:rsidR="00B00594" w:rsidRPr="00997928">
        <w:rPr>
          <w:rFonts w:ascii="Times New Roman" w:hAnsi="Times New Roman" w:cs="Times New Roman"/>
          <w:bCs/>
          <w:sz w:val="24"/>
          <w:szCs w:val="24"/>
        </w:rPr>
        <w:t>comenz</w:t>
      </w:r>
      <w:r w:rsidRPr="00997928">
        <w:rPr>
          <w:rFonts w:ascii="Times New Roman" w:hAnsi="Times New Roman" w:cs="Times New Roman"/>
          <w:bCs/>
          <w:sz w:val="24"/>
          <w:szCs w:val="24"/>
        </w:rPr>
        <w:t>ar sus prácticas junto con el inicio del periodo académico, y hasta máximo una semana posterior.</w:t>
      </w:r>
    </w:p>
    <w:p w14:paraId="4BDE49CE" w14:textId="574B801B" w:rsidR="0008498C" w:rsidRPr="00997928" w:rsidRDefault="0008498C" w:rsidP="00997928">
      <w:pPr>
        <w:pStyle w:val="Prrafodelista"/>
        <w:numPr>
          <w:ilvl w:val="0"/>
          <w:numId w:val="12"/>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Para dar inicio a las prácticas el estudiante debe haber entregado el Plan de trabajo firmado, y este debe haber sido aprobado por la Junta Académica.</w:t>
      </w:r>
    </w:p>
    <w:p w14:paraId="57DEFE8E" w14:textId="60E269AF" w:rsidR="0008498C" w:rsidRDefault="0008498C" w:rsidP="00997928">
      <w:pPr>
        <w:pStyle w:val="Prrafodelista"/>
        <w:numPr>
          <w:ilvl w:val="0"/>
          <w:numId w:val="12"/>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Se prioriza la asignación en instituciones o proyectos que garanticen condiciones adecuadas de aprendizaje y seguimiento constante.</w:t>
      </w:r>
    </w:p>
    <w:p w14:paraId="68FD460C" w14:textId="483D5184" w:rsidR="00CB7CEA" w:rsidRDefault="00CB7CEA" w:rsidP="00F02696">
      <w:pPr>
        <w:pStyle w:val="Prrafodelista"/>
        <w:spacing w:after="0"/>
        <w:ind w:left="426"/>
        <w:jc w:val="both"/>
        <w:rPr>
          <w:rFonts w:ascii="Times New Roman" w:hAnsi="Times New Roman" w:cs="Times New Roman"/>
          <w:bCs/>
          <w:sz w:val="24"/>
          <w:szCs w:val="24"/>
        </w:rPr>
      </w:pPr>
    </w:p>
    <w:p w14:paraId="736D0007" w14:textId="37A70CE5" w:rsidR="00F02696" w:rsidRDefault="00F02696" w:rsidP="00F02696">
      <w:pPr>
        <w:pStyle w:val="Prrafodelista"/>
        <w:spacing w:after="0"/>
        <w:ind w:left="426"/>
        <w:jc w:val="both"/>
        <w:rPr>
          <w:rFonts w:ascii="Times New Roman" w:hAnsi="Times New Roman" w:cs="Times New Roman"/>
          <w:bCs/>
          <w:sz w:val="24"/>
          <w:szCs w:val="24"/>
        </w:rPr>
      </w:pPr>
    </w:p>
    <w:p w14:paraId="1EA68CE1" w14:textId="7677457D" w:rsidR="00F02696" w:rsidRDefault="00F02696" w:rsidP="00F02696">
      <w:pPr>
        <w:pStyle w:val="Prrafodelista"/>
        <w:spacing w:after="0"/>
        <w:ind w:left="426"/>
        <w:jc w:val="both"/>
        <w:rPr>
          <w:rFonts w:ascii="Times New Roman" w:hAnsi="Times New Roman" w:cs="Times New Roman"/>
          <w:bCs/>
          <w:sz w:val="24"/>
          <w:szCs w:val="24"/>
        </w:rPr>
      </w:pPr>
    </w:p>
    <w:p w14:paraId="58B1BDA0" w14:textId="77777777" w:rsidR="00F02696" w:rsidRDefault="00F02696" w:rsidP="00F02696">
      <w:pPr>
        <w:pStyle w:val="Prrafodelista"/>
        <w:spacing w:after="0"/>
        <w:ind w:left="426"/>
        <w:jc w:val="both"/>
        <w:rPr>
          <w:rFonts w:ascii="Times New Roman" w:hAnsi="Times New Roman" w:cs="Times New Roman"/>
          <w:bCs/>
          <w:sz w:val="24"/>
          <w:szCs w:val="24"/>
        </w:rPr>
      </w:pPr>
    </w:p>
    <w:p w14:paraId="372C2C2E" w14:textId="77777777" w:rsidR="00997928" w:rsidRDefault="00997928" w:rsidP="00997928">
      <w:pPr>
        <w:spacing w:after="0"/>
        <w:jc w:val="both"/>
        <w:rPr>
          <w:rFonts w:ascii="Times New Roman" w:hAnsi="Times New Roman" w:cs="Times New Roman"/>
          <w:b/>
          <w:sz w:val="24"/>
          <w:szCs w:val="24"/>
        </w:rPr>
      </w:pPr>
    </w:p>
    <w:p w14:paraId="64D3C5DA" w14:textId="77777777" w:rsidR="00F02696" w:rsidRDefault="00F02696" w:rsidP="00997928">
      <w:pPr>
        <w:spacing w:after="0"/>
        <w:jc w:val="both"/>
        <w:rPr>
          <w:rFonts w:ascii="Times New Roman" w:hAnsi="Times New Roman" w:cs="Times New Roman"/>
          <w:b/>
          <w:sz w:val="24"/>
          <w:szCs w:val="24"/>
        </w:rPr>
      </w:pPr>
    </w:p>
    <w:p w14:paraId="4E982FC5" w14:textId="2FBC45F0" w:rsidR="0008498C" w:rsidRPr="0008498C" w:rsidRDefault="0008498C" w:rsidP="00997928">
      <w:pPr>
        <w:spacing w:after="0"/>
        <w:jc w:val="both"/>
        <w:rPr>
          <w:rFonts w:ascii="Times New Roman" w:hAnsi="Times New Roman" w:cs="Times New Roman"/>
          <w:b/>
          <w:sz w:val="24"/>
          <w:szCs w:val="24"/>
        </w:rPr>
      </w:pPr>
      <w:r w:rsidRPr="0008498C">
        <w:rPr>
          <w:rFonts w:ascii="Times New Roman" w:hAnsi="Times New Roman" w:cs="Times New Roman"/>
          <w:b/>
          <w:sz w:val="24"/>
          <w:szCs w:val="24"/>
        </w:rPr>
        <w:t>Seguimiento</w:t>
      </w:r>
      <w:r w:rsidRPr="00997928">
        <w:rPr>
          <w:rFonts w:ascii="Times New Roman" w:hAnsi="Times New Roman" w:cs="Times New Roman"/>
          <w:b/>
          <w:sz w:val="24"/>
          <w:szCs w:val="24"/>
        </w:rPr>
        <w:t>:</w:t>
      </w:r>
    </w:p>
    <w:p w14:paraId="3F6D65BE" w14:textId="5A00BEA5" w:rsidR="0008498C" w:rsidRPr="00997928" w:rsidRDefault="0008498C" w:rsidP="00997928">
      <w:pPr>
        <w:pStyle w:val="Prrafodelista"/>
        <w:numPr>
          <w:ilvl w:val="0"/>
          <w:numId w:val="11"/>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 xml:space="preserve">Cada estudiante contará con un tutor interno y un tutor externo para acompañar el correcto desarrollo de las prácticas. El tutor interno será el docente asignado a la materia, y el tutor externo será el encargado en </w:t>
      </w:r>
      <w:r w:rsidR="00F02696">
        <w:rPr>
          <w:rFonts w:ascii="Times New Roman" w:hAnsi="Times New Roman" w:cs="Times New Roman"/>
          <w:bCs/>
          <w:sz w:val="24"/>
          <w:szCs w:val="24"/>
        </w:rPr>
        <w:t>el</w:t>
      </w:r>
      <w:r w:rsidRPr="00997928">
        <w:rPr>
          <w:rFonts w:ascii="Times New Roman" w:hAnsi="Times New Roman" w:cs="Times New Roman"/>
          <w:bCs/>
          <w:sz w:val="24"/>
          <w:szCs w:val="24"/>
        </w:rPr>
        <w:t xml:space="preserve"> proyecto </w:t>
      </w:r>
      <w:r w:rsidR="00F02696">
        <w:rPr>
          <w:rFonts w:ascii="Times New Roman" w:hAnsi="Times New Roman" w:cs="Times New Roman"/>
          <w:bCs/>
          <w:sz w:val="24"/>
          <w:szCs w:val="24"/>
        </w:rPr>
        <w:t xml:space="preserve">u organización </w:t>
      </w:r>
      <w:r w:rsidRPr="00997928">
        <w:rPr>
          <w:rFonts w:ascii="Times New Roman" w:hAnsi="Times New Roman" w:cs="Times New Roman"/>
          <w:bCs/>
          <w:sz w:val="24"/>
          <w:szCs w:val="24"/>
        </w:rPr>
        <w:t>de acompañar al estudiante.</w:t>
      </w:r>
    </w:p>
    <w:p w14:paraId="79D80D1A" w14:textId="2C6EBFAE" w:rsidR="0008498C" w:rsidRPr="00997928" w:rsidRDefault="0008498C" w:rsidP="00997928">
      <w:pPr>
        <w:pStyle w:val="Prrafodelista"/>
        <w:numPr>
          <w:ilvl w:val="0"/>
          <w:numId w:val="11"/>
        </w:numPr>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El tutor interno realizará al menos dos acercamientos con el estudiante durante el periodo de prácticas. Además, el tutor interno realizará al menos dos acercamientos con el tutor externo, para evaluar el desarrollo de las prácticas.</w:t>
      </w:r>
      <w:r w:rsidR="00C53A3D">
        <w:rPr>
          <w:rFonts w:ascii="Times New Roman" w:hAnsi="Times New Roman" w:cs="Times New Roman"/>
          <w:bCs/>
          <w:sz w:val="24"/>
          <w:szCs w:val="24"/>
        </w:rPr>
        <w:t xml:space="preserve"> Es responsabilidad de cada Junta Académica definir los parámetros y documento</w:t>
      </w:r>
      <w:r w:rsidR="00F02696">
        <w:rPr>
          <w:rFonts w:ascii="Times New Roman" w:hAnsi="Times New Roman" w:cs="Times New Roman"/>
          <w:bCs/>
          <w:sz w:val="24"/>
          <w:szCs w:val="24"/>
        </w:rPr>
        <w:t>s</w:t>
      </w:r>
      <w:r w:rsidR="00C53A3D">
        <w:rPr>
          <w:rFonts w:ascii="Times New Roman" w:hAnsi="Times New Roman" w:cs="Times New Roman"/>
          <w:bCs/>
          <w:sz w:val="24"/>
          <w:szCs w:val="24"/>
        </w:rPr>
        <w:t xml:space="preserve"> que respalden </w:t>
      </w:r>
      <w:r w:rsidR="00F02696">
        <w:rPr>
          <w:rFonts w:ascii="Times New Roman" w:hAnsi="Times New Roman" w:cs="Times New Roman"/>
          <w:bCs/>
          <w:sz w:val="24"/>
          <w:szCs w:val="24"/>
        </w:rPr>
        <w:t>estos</w:t>
      </w:r>
      <w:r w:rsidR="00C53A3D">
        <w:rPr>
          <w:rFonts w:ascii="Times New Roman" w:hAnsi="Times New Roman" w:cs="Times New Roman"/>
          <w:bCs/>
          <w:sz w:val="24"/>
          <w:szCs w:val="24"/>
        </w:rPr>
        <w:t xml:space="preserve"> seguimiento</w:t>
      </w:r>
      <w:r w:rsidR="00F02696">
        <w:rPr>
          <w:rFonts w:ascii="Times New Roman" w:hAnsi="Times New Roman" w:cs="Times New Roman"/>
          <w:bCs/>
          <w:sz w:val="24"/>
          <w:szCs w:val="24"/>
        </w:rPr>
        <w:t>s.</w:t>
      </w:r>
    </w:p>
    <w:p w14:paraId="07564103" w14:textId="01B350AC" w:rsidR="0008498C" w:rsidRPr="00997928" w:rsidRDefault="0008498C" w:rsidP="00997928">
      <w:pPr>
        <w:pStyle w:val="Prrafodelista"/>
        <w:numPr>
          <w:ilvl w:val="0"/>
          <w:numId w:val="11"/>
        </w:numPr>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 xml:space="preserve">El estudiante deberá presentar </w:t>
      </w:r>
      <w:r w:rsidR="00AF2BA0" w:rsidRPr="00997928">
        <w:rPr>
          <w:rFonts w:ascii="Times New Roman" w:hAnsi="Times New Roman" w:cs="Times New Roman"/>
          <w:bCs/>
          <w:sz w:val="24"/>
          <w:szCs w:val="24"/>
        </w:rPr>
        <w:t>al menos un</w:t>
      </w:r>
      <w:r w:rsidRPr="00997928">
        <w:rPr>
          <w:rFonts w:ascii="Times New Roman" w:hAnsi="Times New Roman" w:cs="Times New Roman"/>
          <w:bCs/>
          <w:sz w:val="24"/>
          <w:szCs w:val="24"/>
        </w:rPr>
        <w:t xml:space="preserve"> avance de sus actividades.</w:t>
      </w:r>
      <w:r w:rsidR="00F02696">
        <w:rPr>
          <w:rFonts w:ascii="Times New Roman" w:hAnsi="Times New Roman" w:cs="Times New Roman"/>
          <w:bCs/>
          <w:sz w:val="24"/>
          <w:szCs w:val="24"/>
        </w:rPr>
        <w:t xml:space="preserve"> Es responsabilidad de cada Junta Académica definir los parámetros del avance.</w:t>
      </w:r>
    </w:p>
    <w:p w14:paraId="0D955DFE" w14:textId="77777777" w:rsidR="00997928" w:rsidRDefault="00997928" w:rsidP="00997928">
      <w:pPr>
        <w:spacing w:after="0"/>
        <w:jc w:val="both"/>
        <w:rPr>
          <w:rFonts w:ascii="Times New Roman" w:hAnsi="Times New Roman" w:cs="Times New Roman"/>
          <w:b/>
          <w:sz w:val="24"/>
          <w:szCs w:val="24"/>
        </w:rPr>
      </w:pPr>
    </w:p>
    <w:p w14:paraId="5288603E" w14:textId="2B5A28D8" w:rsidR="0008498C" w:rsidRPr="00997928" w:rsidRDefault="0008498C" w:rsidP="00997928">
      <w:pPr>
        <w:spacing w:after="0"/>
        <w:jc w:val="both"/>
        <w:rPr>
          <w:rFonts w:ascii="Times New Roman" w:hAnsi="Times New Roman" w:cs="Times New Roman"/>
          <w:b/>
          <w:sz w:val="24"/>
          <w:szCs w:val="24"/>
        </w:rPr>
      </w:pPr>
      <w:r w:rsidRPr="0008498C">
        <w:rPr>
          <w:rFonts w:ascii="Times New Roman" w:hAnsi="Times New Roman" w:cs="Times New Roman"/>
          <w:b/>
          <w:sz w:val="24"/>
          <w:szCs w:val="24"/>
        </w:rPr>
        <w:t>Evaluación</w:t>
      </w:r>
      <w:r w:rsidR="00AF2BA0" w:rsidRPr="00997928">
        <w:rPr>
          <w:rFonts w:ascii="Times New Roman" w:hAnsi="Times New Roman" w:cs="Times New Roman"/>
          <w:b/>
          <w:sz w:val="24"/>
          <w:szCs w:val="24"/>
        </w:rPr>
        <w:t>:</w:t>
      </w:r>
    </w:p>
    <w:p w14:paraId="412BB5E8" w14:textId="221E695D" w:rsidR="00271BC3" w:rsidRPr="00271BC3" w:rsidRDefault="00AF2BA0" w:rsidP="00271BC3">
      <w:pPr>
        <w:spacing w:after="0"/>
        <w:jc w:val="both"/>
        <w:rPr>
          <w:rFonts w:ascii="Times New Roman" w:hAnsi="Times New Roman" w:cs="Times New Roman"/>
          <w:bCs/>
          <w:sz w:val="24"/>
          <w:szCs w:val="24"/>
        </w:rPr>
      </w:pPr>
      <w:r w:rsidRPr="00271BC3">
        <w:rPr>
          <w:rFonts w:ascii="Times New Roman" w:hAnsi="Times New Roman" w:cs="Times New Roman"/>
          <w:bCs/>
          <w:sz w:val="24"/>
          <w:szCs w:val="24"/>
        </w:rPr>
        <w:t>Cada Junta Académica definirá la conformación de la nota de la materia sobre 50 puntos. La calificación asignada por el tutor interno y el tutor externo deberá contar con una rúbrica de evaluación.</w:t>
      </w:r>
      <w:r w:rsidR="00271BC3" w:rsidRPr="00271BC3">
        <w:rPr>
          <w:rFonts w:ascii="Times New Roman" w:hAnsi="Times New Roman" w:cs="Times New Roman"/>
          <w:bCs/>
          <w:sz w:val="24"/>
          <w:szCs w:val="24"/>
        </w:rPr>
        <w:t xml:space="preserve"> </w:t>
      </w:r>
      <w:r w:rsidR="00271BC3" w:rsidRPr="00271BC3">
        <w:rPr>
          <w:rFonts w:ascii="Times New Roman" w:hAnsi="Times New Roman" w:cs="Times New Roman"/>
          <w:bCs/>
          <w:sz w:val="24"/>
          <w:szCs w:val="24"/>
        </w:rPr>
        <w:t xml:space="preserve">Es responsabilidad de cada Junta Académica definir </w:t>
      </w:r>
      <w:r w:rsidR="00271BC3">
        <w:rPr>
          <w:rFonts w:ascii="Times New Roman" w:hAnsi="Times New Roman" w:cs="Times New Roman"/>
          <w:bCs/>
          <w:sz w:val="24"/>
          <w:szCs w:val="24"/>
        </w:rPr>
        <w:t>la rúbrica que respalde las calificaciones asignadas</w:t>
      </w:r>
      <w:r w:rsidR="00271BC3" w:rsidRPr="00271BC3">
        <w:rPr>
          <w:rFonts w:ascii="Times New Roman" w:hAnsi="Times New Roman" w:cs="Times New Roman"/>
          <w:bCs/>
          <w:sz w:val="24"/>
          <w:szCs w:val="24"/>
        </w:rPr>
        <w:t>.</w:t>
      </w:r>
    </w:p>
    <w:p w14:paraId="359CE896" w14:textId="77777777" w:rsidR="00C53A3D" w:rsidRDefault="00C53A3D" w:rsidP="00997928">
      <w:pPr>
        <w:spacing w:after="0"/>
        <w:jc w:val="both"/>
        <w:rPr>
          <w:rFonts w:ascii="Times New Roman" w:hAnsi="Times New Roman" w:cs="Times New Roman"/>
          <w:b/>
          <w:sz w:val="24"/>
          <w:szCs w:val="24"/>
        </w:rPr>
      </w:pPr>
    </w:p>
    <w:p w14:paraId="00921E6C" w14:textId="7EA25B7E" w:rsidR="0008498C" w:rsidRPr="0008498C" w:rsidRDefault="00B00594" w:rsidP="00997928">
      <w:pPr>
        <w:spacing w:after="0"/>
        <w:jc w:val="both"/>
        <w:rPr>
          <w:rFonts w:ascii="Times New Roman" w:hAnsi="Times New Roman" w:cs="Times New Roman"/>
          <w:b/>
          <w:sz w:val="24"/>
          <w:szCs w:val="24"/>
        </w:rPr>
      </w:pPr>
      <w:r w:rsidRPr="00997928">
        <w:rPr>
          <w:rFonts w:ascii="Times New Roman" w:hAnsi="Times New Roman" w:cs="Times New Roman"/>
          <w:b/>
          <w:sz w:val="24"/>
          <w:szCs w:val="24"/>
        </w:rPr>
        <w:t>Documentos</w:t>
      </w:r>
      <w:r w:rsidR="0008498C" w:rsidRPr="0008498C">
        <w:rPr>
          <w:rFonts w:ascii="Times New Roman" w:hAnsi="Times New Roman" w:cs="Times New Roman"/>
          <w:b/>
          <w:sz w:val="24"/>
          <w:szCs w:val="24"/>
        </w:rPr>
        <w:t xml:space="preserve"> que </w:t>
      </w:r>
      <w:r w:rsidRPr="00997928">
        <w:rPr>
          <w:rFonts w:ascii="Times New Roman" w:hAnsi="Times New Roman" w:cs="Times New Roman"/>
          <w:b/>
          <w:sz w:val="24"/>
          <w:szCs w:val="24"/>
        </w:rPr>
        <w:t>g</w:t>
      </w:r>
      <w:r w:rsidR="0008498C" w:rsidRPr="0008498C">
        <w:rPr>
          <w:rFonts w:ascii="Times New Roman" w:hAnsi="Times New Roman" w:cs="Times New Roman"/>
          <w:b/>
          <w:sz w:val="24"/>
          <w:szCs w:val="24"/>
        </w:rPr>
        <w:t xml:space="preserve">uían las </w:t>
      </w:r>
      <w:r w:rsidRPr="00997928">
        <w:rPr>
          <w:rFonts w:ascii="Times New Roman" w:hAnsi="Times New Roman" w:cs="Times New Roman"/>
          <w:b/>
          <w:sz w:val="24"/>
          <w:szCs w:val="24"/>
        </w:rPr>
        <w:t>p</w:t>
      </w:r>
      <w:r w:rsidR="0008498C" w:rsidRPr="0008498C">
        <w:rPr>
          <w:rFonts w:ascii="Times New Roman" w:hAnsi="Times New Roman" w:cs="Times New Roman"/>
          <w:b/>
          <w:sz w:val="24"/>
          <w:szCs w:val="24"/>
        </w:rPr>
        <w:t>rácticas</w:t>
      </w:r>
      <w:r w:rsidRPr="00997928">
        <w:rPr>
          <w:rFonts w:ascii="Times New Roman" w:hAnsi="Times New Roman" w:cs="Times New Roman"/>
          <w:b/>
          <w:sz w:val="24"/>
          <w:szCs w:val="24"/>
        </w:rPr>
        <w:t>:</w:t>
      </w:r>
    </w:p>
    <w:p w14:paraId="00A5B65B" w14:textId="5F93870D" w:rsidR="0008498C" w:rsidRPr="00997928" w:rsidRDefault="00B00594" w:rsidP="00997928">
      <w:pPr>
        <w:pStyle w:val="Prrafodelista"/>
        <w:numPr>
          <w:ilvl w:val="0"/>
          <w:numId w:val="13"/>
        </w:numPr>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Plan de trabajo.</w:t>
      </w:r>
    </w:p>
    <w:p w14:paraId="4C3759F3" w14:textId="15A6F315" w:rsidR="00997928" w:rsidRPr="00997928" w:rsidRDefault="00997928" w:rsidP="00997928">
      <w:pPr>
        <w:pStyle w:val="Prrafodelista"/>
        <w:numPr>
          <w:ilvl w:val="0"/>
          <w:numId w:val="13"/>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Documentos de seguimiento</w:t>
      </w:r>
      <w:r w:rsidR="00C53A3D">
        <w:rPr>
          <w:rFonts w:ascii="Times New Roman" w:hAnsi="Times New Roman" w:cs="Times New Roman"/>
          <w:bCs/>
          <w:sz w:val="24"/>
          <w:szCs w:val="24"/>
        </w:rPr>
        <w:t>.</w:t>
      </w:r>
    </w:p>
    <w:p w14:paraId="70517F79" w14:textId="6A2D36A9" w:rsidR="0008498C" w:rsidRPr="00997928" w:rsidRDefault="00B00594" w:rsidP="00997928">
      <w:pPr>
        <w:pStyle w:val="Prrafodelista"/>
        <w:numPr>
          <w:ilvl w:val="0"/>
          <w:numId w:val="13"/>
        </w:numPr>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Informe de prácticas</w:t>
      </w:r>
      <w:r w:rsidR="00271BC3">
        <w:rPr>
          <w:rFonts w:ascii="Times New Roman" w:hAnsi="Times New Roman" w:cs="Times New Roman"/>
          <w:bCs/>
          <w:sz w:val="24"/>
          <w:szCs w:val="24"/>
        </w:rPr>
        <w:t>: según los parámetros definidos por la Junta Académica.</w:t>
      </w:r>
    </w:p>
    <w:p w14:paraId="068F4DD2" w14:textId="1B1EECDC" w:rsidR="00B00594" w:rsidRPr="00997928" w:rsidRDefault="0008498C" w:rsidP="00997928">
      <w:pPr>
        <w:pStyle w:val="Prrafodelista"/>
        <w:numPr>
          <w:ilvl w:val="0"/>
          <w:numId w:val="13"/>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 xml:space="preserve">Rúbrica de evaluación </w:t>
      </w:r>
      <w:r w:rsidR="00B00594" w:rsidRPr="00997928">
        <w:rPr>
          <w:rFonts w:ascii="Times New Roman" w:hAnsi="Times New Roman" w:cs="Times New Roman"/>
          <w:bCs/>
          <w:sz w:val="24"/>
          <w:szCs w:val="24"/>
        </w:rPr>
        <w:t>tutor interno.</w:t>
      </w:r>
    </w:p>
    <w:p w14:paraId="5676BE32" w14:textId="638B52C3" w:rsidR="00B00594" w:rsidRPr="00997928" w:rsidRDefault="00B00594" w:rsidP="00997928">
      <w:pPr>
        <w:pStyle w:val="Prrafodelista"/>
        <w:numPr>
          <w:ilvl w:val="0"/>
          <w:numId w:val="13"/>
        </w:numPr>
        <w:tabs>
          <w:tab w:val="num" w:pos="426"/>
        </w:tabs>
        <w:spacing w:after="0"/>
        <w:ind w:left="426" w:hanging="284"/>
        <w:jc w:val="both"/>
        <w:rPr>
          <w:rFonts w:ascii="Times New Roman" w:hAnsi="Times New Roman" w:cs="Times New Roman"/>
          <w:bCs/>
          <w:sz w:val="24"/>
          <w:szCs w:val="24"/>
        </w:rPr>
      </w:pPr>
      <w:r w:rsidRPr="00997928">
        <w:rPr>
          <w:rFonts w:ascii="Times New Roman" w:hAnsi="Times New Roman" w:cs="Times New Roman"/>
          <w:bCs/>
          <w:sz w:val="24"/>
          <w:szCs w:val="24"/>
        </w:rPr>
        <w:t>Rúbrica de evaluación tutor externo.</w:t>
      </w:r>
    </w:p>
    <w:p w14:paraId="263D25FC" w14:textId="7B1A0BF9" w:rsidR="00B00594" w:rsidRPr="00B00594" w:rsidRDefault="00B00594" w:rsidP="00997928">
      <w:pPr>
        <w:spacing w:before="100" w:beforeAutospacing="1" w:after="100" w:afterAutospacing="1"/>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En caso de que el estudiante tenga que cumplir con 10 horas o menos de prácticas</w:t>
      </w:r>
      <w:r w:rsidR="00CB7CEA">
        <w:rPr>
          <w:rFonts w:ascii="Times New Roman" w:eastAsia="Times New Roman" w:hAnsi="Times New Roman" w:cs="Times New Roman"/>
          <w:sz w:val="24"/>
          <w:szCs w:val="24"/>
          <w:lang w:eastAsia="es-EC"/>
        </w:rPr>
        <w:t xml:space="preserve"> preprofesionales</w:t>
      </w:r>
      <w:r>
        <w:rPr>
          <w:rFonts w:ascii="Times New Roman" w:eastAsia="Times New Roman" w:hAnsi="Times New Roman" w:cs="Times New Roman"/>
          <w:sz w:val="24"/>
          <w:szCs w:val="24"/>
          <w:lang w:eastAsia="es-EC"/>
        </w:rPr>
        <w:t>, no serán necesarios todos los documentos antes descritos, bastará con un informe de la Junta Académica, firmado por el estudiante y el Coordinador, en el cual se especifique el cumplimiento del objetivo y actividades realizadas; así como, la calificación asignada.</w:t>
      </w:r>
    </w:p>
    <w:p w14:paraId="3777206A" w14:textId="0864CE5E" w:rsidR="00CE5022" w:rsidRPr="00B00594" w:rsidRDefault="00B00594" w:rsidP="00997928">
      <w:pPr>
        <w:spacing w:after="0"/>
        <w:jc w:val="both"/>
        <w:rPr>
          <w:rFonts w:ascii="Times New Roman" w:hAnsi="Times New Roman" w:cs="Times New Roman"/>
          <w:b/>
          <w:sz w:val="24"/>
          <w:szCs w:val="24"/>
        </w:rPr>
      </w:pPr>
      <w:r w:rsidRPr="00B00594">
        <w:rPr>
          <w:rFonts w:ascii="Times New Roman" w:hAnsi="Times New Roman" w:cs="Times New Roman"/>
          <w:b/>
          <w:sz w:val="24"/>
          <w:szCs w:val="24"/>
        </w:rPr>
        <w:t>Registro:</w:t>
      </w:r>
    </w:p>
    <w:p w14:paraId="1E4DAD1D" w14:textId="6B29A83E" w:rsidR="00B00594" w:rsidRPr="00CE5022" w:rsidRDefault="00B00594" w:rsidP="00997928">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Una vez que el proceso de prácticas concluya, el docente de la materia deberá reportar en el Sistema de Gestión Universitaria la calificación obtenida; así como, deberá cargar las evidencias del proceso, seguimiento y resultados del desarrollo de las prácticas; esto es al menos, el plan de trabajo, </w:t>
      </w:r>
      <w:r w:rsidR="00C53A3D">
        <w:rPr>
          <w:rFonts w:ascii="Times New Roman" w:hAnsi="Times New Roman" w:cs="Times New Roman"/>
          <w:bCs/>
          <w:sz w:val="24"/>
          <w:szCs w:val="24"/>
        </w:rPr>
        <w:t xml:space="preserve">los documentos del seguimiento, </w:t>
      </w:r>
      <w:r>
        <w:rPr>
          <w:rFonts w:ascii="Times New Roman" w:hAnsi="Times New Roman" w:cs="Times New Roman"/>
          <w:bCs/>
          <w:sz w:val="24"/>
          <w:szCs w:val="24"/>
        </w:rPr>
        <w:t>el informe de prácticas, las rúbricas del tutor interno y externo, y cualquier otro documento de evaluación.</w:t>
      </w:r>
    </w:p>
    <w:sectPr w:rsidR="00B00594" w:rsidRPr="00CE5022" w:rsidSect="0073150A">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4FEE" w14:textId="77777777" w:rsidR="00D56FC2" w:rsidRDefault="00D56FC2" w:rsidP="003A200A">
      <w:pPr>
        <w:spacing w:after="0" w:line="240" w:lineRule="auto"/>
      </w:pPr>
      <w:r>
        <w:separator/>
      </w:r>
    </w:p>
  </w:endnote>
  <w:endnote w:type="continuationSeparator" w:id="0">
    <w:p w14:paraId="5BEC8533" w14:textId="77777777" w:rsidR="00D56FC2" w:rsidRDefault="00D56FC2" w:rsidP="003A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048F" w14:textId="77777777" w:rsidR="003064A6" w:rsidRDefault="003064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201B" w14:textId="77777777" w:rsidR="003064A6" w:rsidRDefault="003064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D4E0" w14:textId="77777777" w:rsidR="003064A6" w:rsidRDefault="00306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450B" w14:textId="77777777" w:rsidR="00D56FC2" w:rsidRDefault="00D56FC2" w:rsidP="003A200A">
      <w:pPr>
        <w:spacing w:after="0" w:line="240" w:lineRule="auto"/>
      </w:pPr>
      <w:r>
        <w:separator/>
      </w:r>
    </w:p>
  </w:footnote>
  <w:footnote w:type="continuationSeparator" w:id="0">
    <w:p w14:paraId="5F69D1EF" w14:textId="77777777" w:rsidR="00D56FC2" w:rsidRDefault="00D56FC2" w:rsidP="003A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74A2" w14:textId="77777777" w:rsidR="003064A6" w:rsidRDefault="003064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24EC" w14:textId="4D16D2AB" w:rsidR="003A200A" w:rsidRDefault="003A200A" w:rsidP="003A200A">
    <w:pPr>
      <w:pStyle w:val="Encabezado"/>
      <w:jc w:val="center"/>
    </w:pPr>
    <w:r>
      <w:rPr>
        <w:noProof/>
        <w:lang w:val="en-US"/>
      </w:rPr>
      <w:drawing>
        <wp:inline distT="0" distB="0" distL="0" distR="0" wp14:anchorId="60B7E4CF" wp14:editId="17FE795D">
          <wp:extent cx="2092151" cy="3619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88" cy="3651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3C0C" w14:textId="77777777" w:rsidR="003064A6" w:rsidRDefault="003064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120"/>
    <w:multiLevelType w:val="hybridMultilevel"/>
    <w:tmpl w:val="03C05C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0062A2"/>
    <w:multiLevelType w:val="multilevel"/>
    <w:tmpl w:val="390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F31E1"/>
    <w:multiLevelType w:val="multilevel"/>
    <w:tmpl w:val="6A20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E7D04"/>
    <w:multiLevelType w:val="hybridMultilevel"/>
    <w:tmpl w:val="71AEA1F2"/>
    <w:lvl w:ilvl="0" w:tplc="0409000F">
      <w:start w:val="1"/>
      <w:numFmt w:val="decimal"/>
      <w:lvlText w:val="%1."/>
      <w:lvlJc w:val="left"/>
      <w:pPr>
        <w:ind w:left="720" w:hanging="360"/>
      </w:pPr>
      <w:rPr>
        <w:rFonts w:hint="default"/>
      </w:rPr>
    </w:lvl>
    <w:lvl w:ilvl="1" w:tplc="CF0468EA">
      <w:start w:val="1"/>
      <w:numFmt w:val="lowerLetter"/>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AAB4273"/>
    <w:multiLevelType w:val="multilevel"/>
    <w:tmpl w:val="DF98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D3F7D"/>
    <w:multiLevelType w:val="hybridMultilevel"/>
    <w:tmpl w:val="A6B29D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4C938A2"/>
    <w:multiLevelType w:val="hybridMultilevel"/>
    <w:tmpl w:val="04B86214"/>
    <w:lvl w:ilvl="0" w:tplc="BCE63C7E">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81A0C31"/>
    <w:multiLevelType w:val="hybridMultilevel"/>
    <w:tmpl w:val="E59888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10343A5"/>
    <w:multiLevelType w:val="hybridMultilevel"/>
    <w:tmpl w:val="CAF24D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7F36ECF"/>
    <w:multiLevelType w:val="hybridMultilevel"/>
    <w:tmpl w:val="6F904B5E"/>
    <w:lvl w:ilvl="0" w:tplc="B2C84B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77C40"/>
    <w:multiLevelType w:val="multilevel"/>
    <w:tmpl w:val="CAE4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51016"/>
    <w:multiLevelType w:val="hybridMultilevel"/>
    <w:tmpl w:val="7C72871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A0E6D9A"/>
    <w:multiLevelType w:val="multilevel"/>
    <w:tmpl w:val="D8E2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num>
  <w:num w:numId="4">
    <w:abstractNumId w:val="6"/>
  </w:num>
  <w:num w:numId="5">
    <w:abstractNumId w:val="9"/>
  </w:num>
  <w:num w:numId="6">
    <w:abstractNumId w:val="12"/>
  </w:num>
  <w:num w:numId="7">
    <w:abstractNumId w:val="10"/>
  </w:num>
  <w:num w:numId="8">
    <w:abstractNumId w:val="2"/>
  </w:num>
  <w:num w:numId="9">
    <w:abstractNumId w:val="1"/>
  </w:num>
  <w:num w:numId="10">
    <w:abstractNumId w:val="4"/>
  </w:num>
  <w:num w:numId="11">
    <w:abstractNumId w:val="8"/>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87"/>
    <w:rsid w:val="00010EAA"/>
    <w:rsid w:val="000168C5"/>
    <w:rsid w:val="000248CA"/>
    <w:rsid w:val="000313FD"/>
    <w:rsid w:val="00052E06"/>
    <w:rsid w:val="0005557D"/>
    <w:rsid w:val="00056BB7"/>
    <w:rsid w:val="0005710B"/>
    <w:rsid w:val="0006073E"/>
    <w:rsid w:val="00064EFB"/>
    <w:rsid w:val="00065A0C"/>
    <w:rsid w:val="000707A0"/>
    <w:rsid w:val="00081209"/>
    <w:rsid w:val="000843A7"/>
    <w:rsid w:val="0008498C"/>
    <w:rsid w:val="00095C5B"/>
    <w:rsid w:val="000A5D5B"/>
    <w:rsid w:val="000A60E5"/>
    <w:rsid w:val="000B34CF"/>
    <w:rsid w:val="000B5254"/>
    <w:rsid w:val="000B77F8"/>
    <w:rsid w:val="000C660D"/>
    <w:rsid w:val="000D7FA3"/>
    <w:rsid w:val="000F0B98"/>
    <w:rsid w:val="000F6C84"/>
    <w:rsid w:val="00101588"/>
    <w:rsid w:val="0010796A"/>
    <w:rsid w:val="001171EE"/>
    <w:rsid w:val="00150385"/>
    <w:rsid w:val="00154181"/>
    <w:rsid w:val="00157BCE"/>
    <w:rsid w:val="00172F62"/>
    <w:rsid w:val="00177978"/>
    <w:rsid w:val="001804DF"/>
    <w:rsid w:val="0019489B"/>
    <w:rsid w:val="001A7CA4"/>
    <w:rsid w:val="001C2E58"/>
    <w:rsid w:val="001D327E"/>
    <w:rsid w:val="001D3D29"/>
    <w:rsid w:val="001D45CD"/>
    <w:rsid w:val="001D7E9F"/>
    <w:rsid w:val="001E10AA"/>
    <w:rsid w:val="001E51A6"/>
    <w:rsid w:val="001F37E4"/>
    <w:rsid w:val="001F5930"/>
    <w:rsid w:val="001F61CF"/>
    <w:rsid w:val="002059A6"/>
    <w:rsid w:val="00210BF8"/>
    <w:rsid w:val="00234E64"/>
    <w:rsid w:val="00247466"/>
    <w:rsid w:val="00256A02"/>
    <w:rsid w:val="00260F34"/>
    <w:rsid w:val="00262E02"/>
    <w:rsid w:val="00267A91"/>
    <w:rsid w:val="002708EC"/>
    <w:rsid w:val="00271BC3"/>
    <w:rsid w:val="00276EAF"/>
    <w:rsid w:val="002816CB"/>
    <w:rsid w:val="00285F75"/>
    <w:rsid w:val="00286BAE"/>
    <w:rsid w:val="00290A91"/>
    <w:rsid w:val="002938D6"/>
    <w:rsid w:val="002955C5"/>
    <w:rsid w:val="002A6C13"/>
    <w:rsid w:val="002B27EE"/>
    <w:rsid w:val="002B4772"/>
    <w:rsid w:val="002B4D75"/>
    <w:rsid w:val="002C5EA4"/>
    <w:rsid w:val="002E2CA9"/>
    <w:rsid w:val="002F0A62"/>
    <w:rsid w:val="002F38A4"/>
    <w:rsid w:val="002F6124"/>
    <w:rsid w:val="0030287D"/>
    <w:rsid w:val="003064A6"/>
    <w:rsid w:val="00312D74"/>
    <w:rsid w:val="0032404D"/>
    <w:rsid w:val="00325871"/>
    <w:rsid w:val="00330DB3"/>
    <w:rsid w:val="00347885"/>
    <w:rsid w:val="0035589C"/>
    <w:rsid w:val="003645B2"/>
    <w:rsid w:val="00370467"/>
    <w:rsid w:val="00371C1F"/>
    <w:rsid w:val="00377D7E"/>
    <w:rsid w:val="0039456F"/>
    <w:rsid w:val="00394E05"/>
    <w:rsid w:val="003A200A"/>
    <w:rsid w:val="003A6710"/>
    <w:rsid w:val="003B241A"/>
    <w:rsid w:val="003B7765"/>
    <w:rsid w:val="003C4AEF"/>
    <w:rsid w:val="003D0825"/>
    <w:rsid w:val="003E41D3"/>
    <w:rsid w:val="003F07F9"/>
    <w:rsid w:val="003F20EE"/>
    <w:rsid w:val="00402FDE"/>
    <w:rsid w:val="00413A8C"/>
    <w:rsid w:val="00416F4A"/>
    <w:rsid w:val="00430FB0"/>
    <w:rsid w:val="0043379A"/>
    <w:rsid w:val="0043392F"/>
    <w:rsid w:val="00437EED"/>
    <w:rsid w:val="00440B97"/>
    <w:rsid w:val="00446D8B"/>
    <w:rsid w:val="00455EC9"/>
    <w:rsid w:val="00460E8C"/>
    <w:rsid w:val="00463E98"/>
    <w:rsid w:val="00466A01"/>
    <w:rsid w:val="00470C2A"/>
    <w:rsid w:val="00492AD9"/>
    <w:rsid w:val="00496BDC"/>
    <w:rsid w:val="004A3501"/>
    <w:rsid w:val="004B1715"/>
    <w:rsid w:val="004B3B39"/>
    <w:rsid w:val="004D0D10"/>
    <w:rsid w:val="004D4036"/>
    <w:rsid w:val="004F0EEA"/>
    <w:rsid w:val="004F7FFD"/>
    <w:rsid w:val="00501103"/>
    <w:rsid w:val="005050F2"/>
    <w:rsid w:val="00511400"/>
    <w:rsid w:val="00517773"/>
    <w:rsid w:val="005558EA"/>
    <w:rsid w:val="005574D3"/>
    <w:rsid w:val="005576D0"/>
    <w:rsid w:val="00561CD7"/>
    <w:rsid w:val="0056389B"/>
    <w:rsid w:val="00563B4B"/>
    <w:rsid w:val="00566F99"/>
    <w:rsid w:val="00571F0B"/>
    <w:rsid w:val="005720E2"/>
    <w:rsid w:val="00591B55"/>
    <w:rsid w:val="005A1CA0"/>
    <w:rsid w:val="005A228A"/>
    <w:rsid w:val="005A2687"/>
    <w:rsid w:val="005A392B"/>
    <w:rsid w:val="005A601B"/>
    <w:rsid w:val="005A64DD"/>
    <w:rsid w:val="005B2325"/>
    <w:rsid w:val="005C00A8"/>
    <w:rsid w:val="005C5097"/>
    <w:rsid w:val="005D4BFB"/>
    <w:rsid w:val="005D5064"/>
    <w:rsid w:val="005D5FDB"/>
    <w:rsid w:val="005D61C1"/>
    <w:rsid w:val="005E2245"/>
    <w:rsid w:val="005E406A"/>
    <w:rsid w:val="00602456"/>
    <w:rsid w:val="00605095"/>
    <w:rsid w:val="00606F1A"/>
    <w:rsid w:val="00612999"/>
    <w:rsid w:val="00615A47"/>
    <w:rsid w:val="00626B75"/>
    <w:rsid w:val="00633F6C"/>
    <w:rsid w:val="00642B29"/>
    <w:rsid w:val="00661315"/>
    <w:rsid w:val="006627AC"/>
    <w:rsid w:val="00665183"/>
    <w:rsid w:val="006674CD"/>
    <w:rsid w:val="00667EFD"/>
    <w:rsid w:val="006708C9"/>
    <w:rsid w:val="0068415A"/>
    <w:rsid w:val="006846C4"/>
    <w:rsid w:val="00687C5E"/>
    <w:rsid w:val="00691AB8"/>
    <w:rsid w:val="00694D4E"/>
    <w:rsid w:val="00695E50"/>
    <w:rsid w:val="006A10FA"/>
    <w:rsid w:val="006B1C1B"/>
    <w:rsid w:val="006B265F"/>
    <w:rsid w:val="006B4A96"/>
    <w:rsid w:val="006B66CC"/>
    <w:rsid w:val="006B6B22"/>
    <w:rsid w:val="006B768D"/>
    <w:rsid w:val="006C29F4"/>
    <w:rsid w:val="006C64AE"/>
    <w:rsid w:val="006D6504"/>
    <w:rsid w:val="006E23B9"/>
    <w:rsid w:val="006E51FA"/>
    <w:rsid w:val="006F3F5F"/>
    <w:rsid w:val="00703076"/>
    <w:rsid w:val="007202C1"/>
    <w:rsid w:val="00720590"/>
    <w:rsid w:val="0072175D"/>
    <w:rsid w:val="00725B3D"/>
    <w:rsid w:val="007311E2"/>
    <w:rsid w:val="0073150A"/>
    <w:rsid w:val="00731AB7"/>
    <w:rsid w:val="00736C39"/>
    <w:rsid w:val="00743B59"/>
    <w:rsid w:val="00752662"/>
    <w:rsid w:val="00756062"/>
    <w:rsid w:val="00757B1F"/>
    <w:rsid w:val="00763610"/>
    <w:rsid w:val="00766C54"/>
    <w:rsid w:val="00775AD4"/>
    <w:rsid w:val="0078633A"/>
    <w:rsid w:val="00793D91"/>
    <w:rsid w:val="00793E83"/>
    <w:rsid w:val="007A211F"/>
    <w:rsid w:val="007B3FAD"/>
    <w:rsid w:val="007D6334"/>
    <w:rsid w:val="007D7F59"/>
    <w:rsid w:val="007E00EA"/>
    <w:rsid w:val="007E0231"/>
    <w:rsid w:val="007E1BDF"/>
    <w:rsid w:val="007E2CC3"/>
    <w:rsid w:val="007F33A1"/>
    <w:rsid w:val="007F381E"/>
    <w:rsid w:val="007F3A6B"/>
    <w:rsid w:val="00800988"/>
    <w:rsid w:val="0081245B"/>
    <w:rsid w:val="00813B85"/>
    <w:rsid w:val="00814DC6"/>
    <w:rsid w:val="00815B6F"/>
    <w:rsid w:val="008230A6"/>
    <w:rsid w:val="008327CC"/>
    <w:rsid w:val="00845385"/>
    <w:rsid w:val="00847C4A"/>
    <w:rsid w:val="008555D4"/>
    <w:rsid w:val="00864BA8"/>
    <w:rsid w:val="0087091C"/>
    <w:rsid w:val="0087608F"/>
    <w:rsid w:val="00877931"/>
    <w:rsid w:val="008859E9"/>
    <w:rsid w:val="008874E4"/>
    <w:rsid w:val="00891A6B"/>
    <w:rsid w:val="00897D8F"/>
    <w:rsid w:val="008A41B9"/>
    <w:rsid w:val="008B2B17"/>
    <w:rsid w:val="008B595D"/>
    <w:rsid w:val="008B6CB6"/>
    <w:rsid w:val="008B7137"/>
    <w:rsid w:val="008C405B"/>
    <w:rsid w:val="008C5307"/>
    <w:rsid w:val="008C75F1"/>
    <w:rsid w:val="008D20B7"/>
    <w:rsid w:val="008E3F98"/>
    <w:rsid w:val="008F2D64"/>
    <w:rsid w:val="00903580"/>
    <w:rsid w:val="00912AE8"/>
    <w:rsid w:val="00916D8D"/>
    <w:rsid w:val="009171E1"/>
    <w:rsid w:val="0092380B"/>
    <w:rsid w:val="00951287"/>
    <w:rsid w:val="00977064"/>
    <w:rsid w:val="00981D5C"/>
    <w:rsid w:val="00985D84"/>
    <w:rsid w:val="00992321"/>
    <w:rsid w:val="00992884"/>
    <w:rsid w:val="00994099"/>
    <w:rsid w:val="00997928"/>
    <w:rsid w:val="009A1FEE"/>
    <w:rsid w:val="009A27F8"/>
    <w:rsid w:val="009B500D"/>
    <w:rsid w:val="009C0443"/>
    <w:rsid w:val="009C27E2"/>
    <w:rsid w:val="009D1688"/>
    <w:rsid w:val="009D75AC"/>
    <w:rsid w:val="009E3BA9"/>
    <w:rsid w:val="009E6D60"/>
    <w:rsid w:val="009F0197"/>
    <w:rsid w:val="009F19CB"/>
    <w:rsid w:val="009F3A5A"/>
    <w:rsid w:val="009F3D8C"/>
    <w:rsid w:val="00A01C7D"/>
    <w:rsid w:val="00A104C7"/>
    <w:rsid w:val="00A11667"/>
    <w:rsid w:val="00A125D4"/>
    <w:rsid w:val="00A13705"/>
    <w:rsid w:val="00A14B38"/>
    <w:rsid w:val="00A176AA"/>
    <w:rsid w:val="00A211EE"/>
    <w:rsid w:val="00A3106A"/>
    <w:rsid w:val="00A314EB"/>
    <w:rsid w:val="00A41D92"/>
    <w:rsid w:val="00A41FA1"/>
    <w:rsid w:val="00A54EC9"/>
    <w:rsid w:val="00A61D02"/>
    <w:rsid w:val="00A65538"/>
    <w:rsid w:val="00A74EED"/>
    <w:rsid w:val="00A878DE"/>
    <w:rsid w:val="00A93FF5"/>
    <w:rsid w:val="00AA48B7"/>
    <w:rsid w:val="00AA5343"/>
    <w:rsid w:val="00AB42AB"/>
    <w:rsid w:val="00AC0766"/>
    <w:rsid w:val="00AC32D5"/>
    <w:rsid w:val="00AD3A48"/>
    <w:rsid w:val="00AD45B4"/>
    <w:rsid w:val="00AD5FAC"/>
    <w:rsid w:val="00AE1690"/>
    <w:rsid w:val="00AF2BA0"/>
    <w:rsid w:val="00AF3DDF"/>
    <w:rsid w:val="00AF52C7"/>
    <w:rsid w:val="00B00594"/>
    <w:rsid w:val="00B03603"/>
    <w:rsid w:val="00B0682E"/>
    <w:rsid w:val="00B06A3A"/>
    <w:rsid w:val="00B06AE9"/>
    <w:rsid w:val="00B11738"/>
    <w:rsid w:val="00B13E28"/>
    <w:rsid w:val="00B26E5C"/>
    <w:rsid w:val="00B2765F"/>
    <w:rsid w:val="00B31633"/>
    <w:rsid w:val="00B3328E"/>
    <w:rsid w:val="00B47D3B"/>
    <w:rsid w:val="00B531A3"/>
    <w:rsid w:val="00B55527"/>
    <w:rsid w:val="00B62790"/>
    <w:rsid w:val="00B63A38"/>
    <w:rsid w:val="00B84B90"/>
    <w:rsid w:val="00B87648"/>
    <w:rsid w:val="00BA025E"/>
    <w:rsid w:val="00BA12F9"/>
    <w:rsid w:val="00BA4E8E"/>
    <w:rsid w:val="00BB3F05"/>
    <w:rsid w:val="00BB541D"/>
    <w:rsid w:val="00BB6EE6"/>
    <w:rsid w:val="00BE60B6"/>
    <w:rsid w:val="00BF045E"/>
    <w:rsid w:val="00BF1506"/>
    <w:rsid w:val="00BF5589"/>
    <w:rsid w:val="00BF63A1"/>
    <w:rsid w:val="00BF78E3"/>
    <w:rsid w:val="00C06757"/>
    <w:rsid w:val="00C0781F"/>
    <w:rsid w:val="00C12166"/>
    <w:rsid w:val="00C14AB7"/>
    <w:rsid w:val="00C16929"/>
    <w:rsid w:val="00C2561B"/>
    <w:rsid w:val="00C311FB"/>
    <w:rsid w:val="00C324B8"/>
    <w:rsid w:val="00C4445B"/>
    <w:rsid w:val="00C44A33"/>
    <w:rsid w:val="00C465CC"/>
    <w:rsid w:val="00C53A3D"/>
    <w:rsid w:val="00C55E92"/>
    <w:rsid w:val="00C6433F"/>
    <w:rsid w:val="00C7285C"/>
    <w:rsid w:val="00C82093"/>
    <w:rsid w:val="00C92E4E"/>
    <w:rsid w:val="00C97B94"/>
    <w:rsid w:val="00CB10EE"/>
    <w:rsid w:val="00CB7CEA"/>
    <w:rsid w:val="00CC28F9"/>
    <w:rsid w:val="00CC2C9A"/>
    <w:rsid w:val="00CC3C4B"/>
    <w:rsid w:val="00CC5FFD"/>
    <w:rsid w:val="00CD4F4C"/>
    <w:rsid w:val="00CE332A"/>
    <w:rsid w:val="00CE5022"/>
    <w:rsid w:val="00CE51DA"/>
    <w:rsid w:val="00D01788"/>
    <w:rsid w:val="00D01EA8"/>
    <w:rsid w:val="00D02F18"/>
    <w:rsid w:val="00D22F94"/>
    <w:rsid w:val="00D2334E"/>
    <w:rsid w:val="00D35F6D"/>
    <w:rsid w:val="00D42ACE"/>
    <w:rsid w:val="00D56FC2"/>
    <w:rsid w:val="00D8173F"/>
    <w:rsid w:val="00D97661"/>
    <w:rsid w:val="00DA27A1"/>
    <w:rsid w:val="00DA5BE3"/>
    <w:rsid w:val="00DA7497"/>
    <w:rsid w:val="00DB5E31"/>
    <w:rsid w:val="00DC06D5"/>
    <w:rsid w:val="00DD4F11"/>
    <w:rsid w:val="00DE5854"/>
    <w:rsid w:val="00DE6C08"/>
    <w:rsid w:val="00DE7278"/>
    <w:rsid w:val="00DF035E"/>
    <w:rsid w:val="00DF2774"/>
    <w:rsid w:val="00DF289F"/>
    <w:rsid w:val="00DF336F"/>
    <w:rsid w:val="00E07BFC"/>
    <w:rsid w:val="00E13C2B"/>
    <w:rsid w:val="00E15427"/>
    <w:rsid w:val="00E1589F"/>
    <w:rsid w:val="00E239BC"/>
    <w:rsid w:val="00E23DA3"/>
    <w:rsid w:val="00E34029"/>
    <w:rsid w:val="00E3781F"/>
    <w:rsid w:val="00E455F1"/>
    <w:rsid w:val="00E47984"/>
    <w:rsid w:val="00E579B4"/>
    <w:rsid w:val="00E638A9"/>
    <w:rsid w:val="00E6691A"/>
    <w:rsid w:val="00E76290"/>
    <w:rsid w:val="00E921B1"/>
    <w:rsid w:val="00E931F6"/>
    <w:rsid w:val="00EB55FF"/>
    <w:rsid w:val="00EC0F12"/>
    <w:rsid w:val="00ED19DD"/>
    <w:rsid w:val="00ED1C64"/>
    <w:rsid w:val="00ED361D"/>
    <w:rsid w:val="00EE200E"/>
    <w:rsid w:val="00EE7027"/>
    <w:rsid w:val="00EE7EBC"/>
    <w:rsid w:val="00F02696"/>
    <w:rsid w:val="00F0466E"/>
    <w:rsid w:val="00F04DAD"/>
    <w:rsid w:val="00F21429"/>
    <w:rsid w:val="00F30B6F"/>
    <w:rsid w:val="00F3171B"/>
    <w:rsid w:val="00F33E8D"/>
    <w:rsid w:val="00F42B70"/>
    <w:rsid w:val="00F748CE"/>
    <w:rsid w:val="00F81C28"/>
    <w:rsid w:val="00FA4210"/>
    <w:rsid w:val="00FB1916"/>
    <w:rsid w:val="00FC5AA6"/>
    <w:rsid w:val="00FC65FB"/>
    <w:rsid w:val="00FC6A87"/>
    <w:rsid w:val="00FC7BD4"/>
    <w:rsid w:val="00FD6A15"/>
    <w:rsid w:val="00FE1875"/>
    <w:rsid w:val="00FF104C"/>
    <w:rsid w:val="00FF120A"/>
    <w:rsid w:val="00FF2078"/>
    <w:rsid w:val="00FF59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C2573"/>
  <w15:docId w15:val="{3C82ECDE-9794-4129-941B-46693688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E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EC9"/>
    <w:rPr>
      <w:rFonts w:ascii="Tahoma" w:hAnsi="Tahoma" w:cs="Tahoma"/>
      <w:sz w:val="16"/>
      <w:szCs w:val="16"/>
    </w:rPr>
  </w:style>
  <w:style w:type="paragraph" w:styleId="Prrafodelista">
    <w:name w:val="List Paragraph"/>
    <w:basedOn w:val="Normal"/>
    <w:uiPriority w:val="34"/>
    <w:qFormat/>
    <w:rsid w:val="00455EC9"/>
    <w:pPr>
      <w:ind w:left="720"/>
      <w:contextualSpacing/>
    </w:pPr>
  </w:style>
  <w:style w:type="paragraph" w:styleId="Sinespaciado">
    <w:name w:val="No Spacing"/>
    <w:uiPriority w:val="1"/>
    <w:qFormat/>
    <w:rsid w:val="00992884"/>
    <w:pPr>
      <w:spacing w:after="0" w:line="240" w:lineRule="auto"/>
    </w:pPr>
  </w:style>
  <w:style w:type="character" w:styleId="Refdecomentario">
    <w:name w:val="annotation reference"/>
    <w:basedOn w:val="Fuentedeprrafopredeter"/>
    <w:uiPriority w:val="99"/>
    <w:semiHidden/>
    <w:unhideWhenUsed/>
    <w:rsid w:val="00BF5589"/>
    <w:rPr>
      <w:sz w:val="16"/>
      <w:szCs w:val="16"/>
    </w:rPr>
  </w:style>
  <w:style w:type="paragraph" w:styleId="Textocomentario">
    <w:name w:val="annotation text"/>
    <w:basedOn w:val="Normal"/>
    <w:link w:val="TextocomentarioCar"/>
    <w:uiPriority w:val="99"/>
    <w:semiHidden/>
    <w:unhideWhenUsed/>
    <w:rsid w:val="00BF55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5589"/>
    <w:rPr>
      <w:sz w:val="20"/>
      <w:szCs w:val="20"/>
    </w:rPr>
  </w:style>
  <w:style w:type="paragraph" w:styleId="Asuntodelcomentario">
    <w:name w:val="annotation subject"/>
    <w:basedOn w:val="Textocomentario"/>
    <w:next w:val="Textocomentario"/>
    <w:link w:val="AsuntodelcomentarioCar"/>
    <w:uiPriority w:val="99"/>
    <w:semiHidden/>
    <w:unhideWhenUsed/>
    <w:rsid w:val="00BF5589"/>
    <w:rPr>
      <w:b/>
      <w:bCs/>
    </w:rPr>
  </w:style>
  <w:style w:type="character" w:customStyle="1" w:styleId="AsuntodelcomentarioCar">
    <w:name w:val="Asunto del comentario Car"/>
    <w:basedOn w:val="TextocomentarioCar"/>
    <w:link w:val="Asuntodelcomentario"/>
    <w:uiPriority w:val="99"/>
    <w:semiHidden/>
    <w:rsid w:val="00BF5589"/>
    <w:rPr>
      <w:b/>
      <w:bCs/>
      <w:sz w:val="20"/>
      <w:szCs w:val="20"/>
    </w:rPr>
  </w:style>
  <w:style w:type="paragraph" w:styleId="Encabezado">
    <w:name w:val="header"/>
    <w:basedOn w:val="Normal"/>
    <w:link w:val="EncabezadoCar"/>
    <w:uiPriority w:val="99"/>
    <w:unhideWhenUsed/>
    <w:rsid w:val="003A20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200A"/>
  </w:style>
  <w:style w:type="paragraph" w:styleId="Piedepgina">
    <w:name w:val="footer"/>
    <w:basedOn w:val="Normal"/>
    <w:link w:val="PiedepginaCar"/>
    <w:uiPriority w:val="99"/>
    <w:unhideWhenUsed/>
    <w:rsid w:val="003A20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200A"/>
  </w:style>
  <w:style w:type="table" w:styleId="Tablaconcuadrcula">
    <w:name w:val="Table Grid"/>
    <w:basedOn w:val="Tablanormal"/>
    <w:uiPriority w:val="59"/>
    <w:rsid w:val="007D7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498C"/>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084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2242">
      <w:bodyDiv w:val="1"/>
      <w:marLeft w:val="0"/>
      <w:marRight w:val="0"/>
      <w:marTop w:val="0"/>
      <w:marBottom w:val="0"/>
      <w:divBdr>
        <w:top w:val="none" w:sz="0" w:space="0" w:color="auto"/>
        <w:left w:val="none" w:sz="0" w:space="0" w:color="auto"/>
        <w:bottom w:val="none" w:sz="0" w:space="0" w:color="auto"/>
        <w:right w:val="none" w:sz="0" w:space="0" w:color="auto"/>
      </w:divBdr>
    </w:div>
    <w:div w:id="159198928">
      <w:bodyDiv w:val="1"/>
      <w:marLeft w:val="0"/>
      <w:marRight w:val="0"/>
      <w:marTop w:val="0"/>
      <w:marBottom w:val="0"/>
      <w:divBdr>
        <w:top w:val="none" w:sz="0" w:space="0" w:color="auto"/>
        <w:left w:val="none" w:sz="0" w:space="0" w:color="auto"/>
        <w:bottom w:val="none" w:sz="0" w:space="0" w:color="auto"/>
        <w:right w:val="none" w:sz="0" w:space="0" w:color="auto"/>
      </w:divBdr>
    </w:div>
    <w:div w:id="408887784">
      <w:bodyDiv w:val="1"/>
      <w:marLeft w:val="0"/>
      <w:marRight w:val="0"/>
      <w:marTop w:val="0"/>
      <w:marBottom w:val="0"/>
      <w:divBdr>
        <w:top w:val="none" w:sz="0" w:space="0" w:color="auto"/>
        <w:left w:val="none" w:sz="0" w:space="0" w:color="auto"/>
        <w:bottom w:val="none" w:sz="0" w:space="0" w:color="auto"/>
        <w:right w:val="none" w:sz="0" w:space="0" w:color="auto"/>
      </w:divBdr>
    </w:div>
    <w:div w:id="481317835">
      <w:bodyDiv w:val="1"/>
      <w:marLeft w:val="0"/>
      <w:marRight w:val="0"/>
      <w:marTop w:val="0"/>
      <w:marBottom w:val="0"/>
      <w:divBdr>
        <w:top w:val="none" w:sz="0" w:space="0" w:color="auto"/>
        <w:left w:val="none" w:sz="0" w:space="0" w:color="auto"/>
        <w:bottom w:val="none" w:sz="0" w:space="0" w:color="auto"/>
        <w:right w:val="none" w:sz="0" w:space="0" w:color="auto"/>
      </w:divBdr>
    </w:div>
    <w:div w:id="635765404">
      <w:bodyDiv w:val="1"/>
      <w:marLeft w:val="0"/>
      <w:marRight w:val="0"/>
      <w:marTop w:val="0"/>
      <w:marBottom w:val="0"/>
      <w:divBdr>
        <w:top w:val="none" w:sz="0" w:space="0" w:color="auto"/>
        <w:left w:val="none" w:sz="0" w:space="0" w:color="auto"/>
        <w:bottom w:val="none" w:sz="0" w:space="0" w:color="auto"/>
        <w:right w:val="none" w:sz="0" w:space="0" w:color="auto"/>
      </w:divBdr>
    </w:div>
    <w:div w:id="762263644">
      <w:bodyDiv w:val="1"/>
      <w:marLeft w:val="0"/>
      <w:marRight w:val="0"/>
      <w:marTop w:val="0"/>
      <w:marBottom w:val="0"/>
      <w:divBdr>
        <w:top w:val="none" w:sz="0" w:space="0" w:color="auto"/>
        <w:left w:val="none" w:sz="0" w:space="0" w:color="auto"/>
        <w:bottom w:val="none" w:sz="0" w:space="0" w:color="auto"/>
        <w:right w:val="none" w:sz="0" w:space="0" w:color="auto"/>
      </w:divBdr>
    </w:div>
    <w:div w:id="959842135">
      <w:bodyDiv w:val="1"/>
      <w:marLeft w:val="0"/>
      <w:marRight w:val="0"/>
      <w:marTop w:val="0"/>
      <w:marBottom w:val="0"/>
      <w:divBdr>
        <w:top w:val="none" w:sz="0" w:space="0" w:color="auto"/>
        <w:left w:val="none" w:sz="0" w:space="0" w:color="auto"/>
        <w:bottom w:val="none" w:sz="0" w:space="0" w:color="auto"/>
        <w:right w:val="none" w:sz="0" w:space="0" w:color="auto"/>
      </w:divBdr>
    </w:div>
    <w:div w:id="1203443002">
      <w:bodyDiv w:val="1"/>
      <w:marLeft w:val="0"/>
      <w:marRight w:val="0"/>
      <w:marTop w:val="0"/>
      <w:marBottom w:val="0"/>
      <w:divBdr>
        <w:top w:val="none" w:sz="0" w:space="0" w:color="auto"/>
        <w:left w:val="none" w:sz="0" w:space="0" w:color="auto"/>
        <w:bottom w:val="none" w:sz="0" w:space="0" w:color="auto"/>
        <w:right w:val="none" w:sz="0" w:space="0" w:color="auto"/>
      </w:divBdr>
    </w:div>
    <w:div w:id="1293756770">
      <w:bodyDiv w:val="1"/>
      <w:marLeft w:val="0"/>
      <w:marRight w:val="0"/>
      <w:marTop w:val="0"/>
      <w:marBottom w:val="0"/>
      <w:divBdr>
        <w:top w:val="none" w:sz="0" w:space="0" w:color="auto"/>
        <w:left w:val="none" w:sz="0" w:space="0" w:color="auto"/>
        <w:bottom w:val="none" w:sz="0" w:space="0" w:color="auto"/>
        <w:right w:val="none" w:sz="0" w:space="0" w:color="auto"/>
      </w:divBdr>
    </w:div>
    <w:div w:id="1667704926">
      <w:bodyDiv w:val="1"/>
      <w:marLeft w:val="0"/>
      <w:marRight w:val="0"/>
      <w:marTop w:val="0"/>
      <w:marBottom w:val="0"/>
      <w:divBdr>
        <w:top w:val="none" w:sz="0" w:space="0" w:color="auto"/>
        <w:left w:val="none" w:sz="0" w:space="0" w:color="auto"/>
        <w:bottom w:val="none" w:sz="0" w:space="0" w:color="auto"/>
        <w:right w:val="none" w:sz="0" w:space="0" w:color="auto"/>
      </w:divBdr>
    </w:div>
    <w:div w:id="1710765669">
      <w:bodyDiv w:val="1"/>
      <w:marLeft w:val="0"/>
      <w:marRight w:val="0"/>
      <w:marTop w:val="0"/>
      <w:marBottom w:val="0"/>
      <w:divBdr>
        <w:top w:val="none" w:sz="0" w:space="0" w:color="auto"/>
        <w:left w:val="none" w:sz="0" w:space="0" w:color="auto"/>
        <w:bottom w:val="none" w:sz="0" w:space="0" w:color="auto"/>
        <w:right w:val="none" w:sz="0" w:space="0" w:color="auto"/>
      </w:divBdr>
    </w:div>
    <w:div w:id="19267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CEA</b:Tag>
    <b:SourceType>Report</b:SourceType>
    <b:Guid>{EEFEB84E-5A9C-44B9-BAA8-18F423CF6A4B}</b:Guid>
    <b:Title>Evaluación Institucional de Universidades y Escuelas Politécnicas;Instrumentos de cuantificación del desempeño institucional</b:Title>
    <b:Publisher>CEAACES</b:Publisher>
    <b:City>Quito</b:City>
    <b:Author>
      <b:Author>
        <b:Corporate>CEAACES</b:Corporate>
      </b:Author>
    </b:Author>
    <b:Pages>65-66</b:Pages>
    <b:Year>2015</b:Year>
    <b:RefOrder>6</b:RefOrder>
  </b:Source>
</b:Sources>
</file>

<file path=customXml/itemProps1.xml><?xml version="1.0" encoding="utf-8"?>
<ds:datastoreItem xmlns:ds="http://schemas.openxmlformats.org/officeDocument/2006/customXml" ds:itemID="{B927067E-295F-4799-857C-3285B9A8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671</Words>
  <Characters>3696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cp:lastModifiedBy>
  <cp:revision>20</cp:revision>
  <cp:lastPrinted>2025-09-05T21:39:00Z</cp:lastPrinted>
  <dcterms:created xsi:type="dcterms:W3CDTF">2025-02-07T14:48:00Z</dcterms:created>
  <dcterms:modified xsi:type="dcterms:W3CDTF">2025-09-19T15:28:00Z</dcterms:modified>
</cp:coreProperties>
</file>